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D75" w:rsidRPr="00DC7136" w:rsidRDefault="00C02D75" w:rsidP="00C3199D">
      <w:pPr>
        <w:spacing w:line="360" w:lineRule="auto"/>
        <w:jc w:val="both"/>
        <w:rPr>
          <w:sz w:val="28"/>
          <w:szCs w:val="28"/>
        </w:rPr>
      </w:pPr>
      <w:r w:rsidRPr="00F95822">
        <w:rPr>
          <w:sz w:val="28"/>
          <w:szCs w:val="28"/>
        </w:rPr>
        <w:t>Рецензија рукописа: Други</w:t>
      </w:r>
      <w:r w:rsidRPr="00DC7136">
        <w:rPr>
          <w:sz w:val="28"/>
          <w:szCs w:val="28"/>
        </w:rPr>
        <w:t xml:space="preserve"> свет:</w:t>
      </w:r>
      <w:r w:rsidRPr="00DC7136">
        <w:rPr>
          <w:color w:val="000000"/>
          <w:sz w:val="28"/>
          <w:szCs w:val="28"/>
        </w:rPr>
        <w:t xml:space="preserve">  студије о демонолошким предањима и тужбалицама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Данијеле</w:t>
      </w:r>
      <w:r w:rsidRPr="00122862">
        <w:rPr>
          <w:sz w:val="28"/>
          <w:szCs w:val="28"/>
          <w:lang w:val="ru-RU"/>
        </w:rPr>
        <w:t xml:space="preserve"> </w:t>
      </w:r>
      <w:r w:rsidRPr="00A77706">
        <w:rPr>
          <w:sz w:val="28"/>
          <w:szCs w:val="28"/>
        </w:rPr>
        <w:t>Поповић Николић</w:t>
      </w:r>
      <w:r>
        <w:t>,</w:t>
      </w:r>
      <w:r w:rsidRPr="00DC7136">
        <w:rPr>
          <w:color w:val="000000"/>
          <w:sz w:val="28"/>
          <w:szCs w:val="28"/>
        </w:rPr>
        <w:br/>
      </w:r>
    </w:p>
    <w:p w:rsidR="00C02D75" w:rsidRPr="006D379A" w:rsidRDefault="00C02D75" w:rsidP="00C3199D">
      <w:pPr>
        <w:spacing w:line="360" w:lineRule="auto"/>
        <w:ind w:left="-567"/>
        <w:jc w:val="both"/>
      </w:pPr>
    </w:p>
    <w:p w:rsidR="00C02D75" w:rsidRPr="009946FD" w:rsidRDefault="00C02D75" w:rsidP="00C3199D">
      <w:pPr>
        <w:pStyle w:val="ListParagraph"/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sr-Cyrl-CS"/>
        </w:rPr>
      </w:pPr>
      <w:r w:rsidRPr="00122862">
        <w:rPr>
          <w:rFonts w:ascii="Times New Roman" w:hAnsi="Times New Roman"/>
          <w:sz w:val="24"/>
          <w:szCs w:val="24"/>
          <w:lang w:val="ru-RU"/>
        </w:rPr>
        <w:t>Рукопис књиге Данијеле Поповић Николић</w:t>
      </w:r>
      <w:r w:rsidRPr="009946F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„Други свет: </w:t>
      </w:r>
      <w:r w:rsidRPr="00122862">
        <w:rPr>
          <w:rFonts w:ascii="Times New Roman" w:hAnsi="Times New Roman"/>
          <w:color w:val="000000"/>
          <w:sz w:val="24"/>
          <w:szCs w:val="24"/>
          <w:lang w:val="ru-RU"/>
        </w:rPr>
        <w:t>студије о демонолошким предањима и тужбалицама</w:t>
      </w:r>
      <w:r w:rsidRPr="00122862">
        <w:rPr>
          <w:rFonts w:ascii="Times New Roman" w:hAnsi="Times New Roman"/>
          <w:sz w:val="24"/>
          <w:szCs w:val="24"/>
          <w:lang w:val="ru-RU"/>
        </w:rPr>
        <w:t>“</w:t>
      </w:r>
      <w:r w:rsidRPr="009946FD">
        <w:rPr>
          <w:rFonts w:ascii="Times New Roman" w:hAnsi="Times New Roman"/>
          <w:sz w:val="24"/>
          <w:szCs w:val="24"/>
          <w:lang w:val="sr-Cyrl-CS"/>
        </w:rPr>
        <w:t xml:space="preserve"> има укупно </w:t>
      </w:r>
      <w:r w:rsidRPr="00CB2C22">
        <w:rPr>
          <w:rFonts w:ascii="Times New Roman" w:hAnsi="Times New Roman"/>
          <w:sz w:val="24"/>
          <w:szCs w:val="24"/>
          <w:lang w:val="sr-Cyrl-CS"/>
        </w:rPr>
        <w:t>142</w:t>
      </w:r>
      <w:r w:rsidRPr="009946FD">
        <w:rPr>
          <w:rFonts w:ascii="Times New Roman" w:hAnsi="Times New Roman"/>
          <w:sz w:val="24"/>
          <w:szCs w:val="24"/>
          <w:lang w:val="sr-Cyrl-CS"/>
        </w:rPr>
        <w:t xml:space="preserve"> стран</w:t>
      </w:r>
      <w:r>
        <w:rPr>
          <w:rFonts w:ascii="Times New Roman" w:hAnsi="Times New Roman"/>
          <w:sz w:val="24"/>
          <w:szCs w:val="24"/>
          <w:lang w:val="sr-Cyrl-CS"/>
        </w:rPr>
        <w:t>ице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sr-Cyrl-CS"/>
        </w:rPr>
        <w:t>, којима треба додати индекс</w:t>
      </w:r>
      <w:r w:rsidRPr="009946FD">
        <w:rPr>
          <w:rFonts w:ascii="Times New Roman" w:hAnsi="Times New Roman"/>
          <w:sz w:val="24"/>
          <w:szCs w:val="24"/>
          <w:lang w:val="sr-Cyrl-CS"/>
        </w:rPr>
        <w:t xml:space="preserve"> (биће уобличени након прелома књиге, тако да ће коначан број страница тада бити познат). </w:t>
      </w:r>
    </w:p>
    <w:p w:rsidR="00C02D75" w:rsidRPr="009946FD" w:rsidRDefault="00C02D75" w:rsidP="00C3199D">
      <w:pPr>
        <w:pStyle w:val="ListParagraph"/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sr-Cyrl-CS"/>
        </w:rPr>
      </w:pPr>
      <w:r w:rsidRPr="009946FD">
        <w:rPr>
          <w:rFonts w:ascii="Times New Roman" w:hAnsi="Times New Roman"/>
          <w:sz w:val="24"/>
          <w:szCs w:val="24"/>
          <w:lang w:val="sr-Cyrl-CS"/>
        </w:rPr>
        <w:t xml:space="preserve">Књига </w:t>
      </w:r>
      <w:r w:rsidRPr="00122862">
        <w:rPr>
          <w:rFonts w:ascii="Times New Roman" w:hAnsi="Times New Roman"/>
          <w:sz w:val="24"/>
          <w:szCs w:val="24"/>
          <w:lang w:val="ru-RU"/>
        </w:rPr>
        <w:t>обухвата</w:t>
      </w:r>
      <w:r w:rsidRPr="009946FD">
        <w:rPr>
          <w:rFonts w:ascii="Times New Roman" w:hAnsi="Times New Roman"/>
          <w:sz w:val="24"/>
          <w:szCs w:val="24"/>
          <w:lang w:val="sr-Cyrl-CS"/>
        </w:rPr>
        <w:t xml:space="preserve"> уводни текст,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946FD">
        <w:rPr>
          <w:rFonts w:ascii="Times New Roman" w:hAnsi="Times New Roman"/>
          <w:sz w:val="24"/>
          <w:szCs w:val="24"/>
          <w:lang w:val="sr-Cyrl-CS"/>
        </w:rPr>
        <w:t>осам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946FD">
        <w:rPr>
          <w:rFonts w:ascii="Times New Roman" w:hAnsi="Times New Roman"/>
          <w:sz w:val="24"/>
          <w:szCs w:val="24"/>
          <w:lang w:val="sr-Cyrl-CS"/>
        </w:rPr>
        <w:t xml:space="preserve">самосталних радова и </w:t>
      </w:r>
      <w:r>
        <w:rPr>
          <w:rFonts w:ascii="Times New Roman" w:hAnsi="Times New Roman"/>
          <w:sz w:val="24"/>
          <w:szCs w:val="24"/>
          <w:lang w:val="sr-Cyrl-CS"/>
        </w:rPr>
        <w:t>Предметни индекс</w:t>
      </w:r>
      <w:r w:rsidRPr="009946FD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а</w:t>
      </w:r>
      <w:r w:rsidRPr="009946FD">
        <w:rPr>
          <w:rFonts w:ascii="Times New Roman" w:hAnsi="Times New Roman"/>
          <w:sz w:val="24"/>
          <w:szCs w:val="24"/>
          <w:lang w:val="sr-Cyrl-CS"/>
        </w:rPr>
        <w:t xml:space="preserve"> све то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обједињен</w:t>
      </w:r>
      <w:r w:rsidRPr="009946FD">
        <w:rPr>
          <w:rFonts w:ascii="Times New Roman" w:hAnsi="Times New Roman"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sz w:val="24"/>
          <w:szCs w:val="24"/>
          <w:lang w:val="sr-Cyrl-CS"/>
        </w:rPr>
        <w:t xml:space="preserve">је </w:t>
      </w:r>
      <w:r w:rsidRPr="009946FD">
        <w:rPr>
          <w:rFonts w:ascii="Times New Roman" w:hAnsi="Times New Roman"/>
          <w:sz w:val="24"/>
          <w:szCs w:val="24"/>
          <w:lang w:val="sr-Cyrl-CS"/>
        </w:rPr>
        <w:t>поменутим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946FD">
        <w:rPr>
          <w:rFonts w:ascii="Times New Roman" w:hAnsi="Times New Roman"/>
          <w:sz w:val="24"/>
          <w:szCs w:val="24"/>
          <w:lang w:val="sr-Cyrl-CS"/>
        </w:rPr>
        <w:t>насловом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946FD">
        <w:rPr>
          <w:rFonts w:ascii="Times New Roman" w:hAnsi="Times New Roman"/>
          <w:sz w:val="24"/>
          <w:szCs w:val="24"/>
          <w:lang w:val="sr-Cyrl-CS"/>
        </w:rPr>
        <w:t>који наговештава основну тему ауторкин</w:t>
      </w:r>
      <w:r w:rsidRPr="00122862">
        <w:rPr>
          <w:rFonts w:ascii="Times New Roman" w:hAnsi="Times New Roman"/>
          <w:sz w:val="24"/>
          <w:szCs w:val="24"/>
        </w:rPr>
        <w:t>и</w:t>
      </w:r>
      <w:r w:rsidRPr="009946FD">
        <w:rPr>
          <w:rFonts w:ascii="Times New Roman" w:hAnsi="Times New Roman"/>
          <w:sz w:val="24"/>
          <w:szCs w:val="24"/>
          <w:lang w:val="sr-Cyrl-CS"/>
        </w:rPr>
        <w:t>х размишљања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9946FD">
        <w:rPr>
          <w:rFonts w:ascii="Times New Roman" w:hAnsi="Times New Roman"/>
          <w:sz w:val="24"/>
          <w:szCs w:val="24"/>
          <w:lang w:val="sr-Cyrl-CS"/>
        </w:rPr>
        <w:t xml:space="preserve"> која се тиче односа традиционалног човека према оностраном и могућим рефлексијама тог односа у предању и тужбалици, па се оно што је овде написано о две поменуте жанровске категорије може посматрати и у ширем, културолошком контексту, што и Књигу доводи у аналогно окружење.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C02D75" w:rsidRPr="009946FD" w:rsidRDefault="00C02D75" w:rsidP="00C3199D">
      <w:pPr>
        <w:pStyle w:val="ListParagraph"/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sr-Cyrl-CS"/>
        </w:rPr>
      </w:pPr>
      <w:r w:rsidRPr="009946FD">
        <w:rPr>
          <w:rFonts w:ascii="Times New Roman" w:hAnsi="Times New Roman"/>
          <w:sz w:val="24"/>
          <w:szCs w:val="24"/>
          <w:lang w:val="sr-Cyrl-CS"/>
        </w:rPr>
        <w:t xml:space="preserve">Радови у Књизи, сходно категоријама којима се ауторка бави,  су и подељени у две целине, већу (на почетку),  која обухвата шест студија о предању, и мању (којом се књига затвара), а коју чине два рада у којима  ауторка анализира тужбалице. </w:t>
      </w:r>
    </w:p>
    <w:p w:rsidR="00C02D75" w:rsidRPr="009946FD" w:rsidRDefault="00C02D75" w:rsidP="00C3199D">
      <w:pPr>
        <w:pStyle w:val="ListParagraph"/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sr-Cyrl-CS"/>
        </w:rPr>
      </w:pPr>
      <w:r w:rsidRPr="009946FD">
        <w:rPr>
          <w:rFonts w:ascii="Times New Roman" w:hAnsi="Times New Roman"/>
          <w:sz w:val="24"/>
          <w:szCs w:val="24"/>
          <w:lang w:val="sr-Cyrl-CS"/>
        </w:rPr>
        <w:t xml:space="preserve">Студије о демонолошким предањима из првог дела Књиге, већ својим насловима и  местом које им је одређено у Рукопису, имплицирају не само ауторкино бављење различитим димензијама ове категорије народне прозе, </w:t>
      </w:r>
      <w:r>
        <w:rPr>
          <w:rFonts w:ascii="Times New Roman" w:hAnsi="Times New Roman"/>
          <w:sz w:val="24"/>
          <w:szCs w:val="24"/>
          <w:lang w:val="sr-Cyrl-CS"/>
        </w:rPr>
        <w:t>него</w:t>
      </w:r>
      <w:r w:rsidRPr="009946FD">
        <w:rPr>
          <w:rFonts w:ascii="Times New Roman" w:hAnsi="Times New Roman"/>
          <w:sz w:val="24"/>
          <w:szCs w:val="24"/>
          <w:lang w:val="sr-Cyrl-CS"/>
        </w:rPr>
        <w:t xml:space="preserve"> представљају и покушај сагледавања њених различитих поетичких обележја (и то од најопштијих ка посебним), која ове наративе издвајају у посебну жанровску категорију, те оне (студије) овим скицирају до сада код нас ненаписану монографију о демонолошком предању, што је и</w:t>
      </w:r>
      <w:r>
        <w:rPr>
          <w:rFonts w:ascii="Times New Roman" w:hAnsi="Times New Roman"/>
          <w:sz w:val="24"/>
          <w:szCs w:val="24"/>
          <w:lang w:val="sr-Cyrl-CS"/>
        </w:rPr>
        <w:t xml:space="preserve"> најзначајнији </w:t>
      </w:r>
      <w:r w:rsidRPr="009946FD">
        <w:rPr>
          <w:rFonts w:ascii="Times New Roman" w:hAnsi="Times New Roman"/>
          <w:sz w:val="24"/>
          <w:szCs w:val="24"/>
          <w:lang w:val="sr-Cyrl-CS"/>
        </w:rPr>
        <w:t xml:space="preserve"> иновативни домак ових истраживања.</w:t>
      </w:r>
    </w:p>
    <w:p w:rsidR="00C02D75" w:rsidRPr="009946FD" w:rsidRDefault="00C02D75" w:rsidP="00C3199D">
      <w:pPr>
        <w:pStyle w:val="ListParagraph"/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9946FD">
        <w:rPr>
          <w:rFonts w:ascii="Times New Roman" w:hAnsi="Times New Roman"/>
          <w:sz w:val="24"/>
          <w:szCs w:val="24"/>
          <w:lang w:val="sr-Cyrl-CS"/>
        </w:rPr>
        <w:t>На почетку Књиге налази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122862">
        <w:rPr>
          <w:rFonts w:ascii="Times New Roman" w:hAnsi="Times New Roman"/>
          <w:sz w:val="24"/>
          <w:szCs w:val="24"/>
          <w:lang w:val="sr-Cyrl-CS"/>
        </w:rPr>
        <w:t xml:space="preserve">се </w:t>
      </w:r>
      <w:r w:rsidRPr="009946FD">
        <w:rPr>
          <w:rFonts w:ascii="Times New Roman" w:hAnsi="Times New Roman"/>
          <w:sz w:val="24"/>
          <w:szCs w:val="24"/>
          <w:lang w:val="sr-Cyrl-CS"/>
        </w:rPr>
        <w:t>рад под насловом „</w:t>
      </w:r>
      <w:r w:rsidRPr="009946FD">
        <w:rPr>
          <w:rFonts w:ascii="Times New Roman" w:hAnsi="Times New Roman"/>
          <w:i/>
          <w:sz w:val="24"/>
          <w:szCs w:val="24"/>
          <w:lang w:val="ru-RU"/>
        </w:rPr>
        <w:t>Ал' ово није бајка него истинито</w:t>
      </w:r>
      <w:r w:rsidRPr="009946FD">
        <w:rPr>
          <w:rFonts w:ascii="Times New Roman" w:hAnsi="Times New Roman"/>
          <w:sz w:val="24"/>
          <w:szCs w:val="24"/>
          <w:lang w:val="ru-RU"/>
        </w:rPr>
        <w:t>: дискурс ве</w:t>
      </w:r>
      <w:r>
        <w:rPr>
          <w:rFonts w:ascii="Times New Roman" w:hAnsi="Times New Roman"/>
          <w:sz w:val="24"/>
          <w:szCs w:val="24"/>
          <w:lang w:val="ru-RU"/>
        </w:rPr>
        <w:t>рности у демонолошким предањима”</w:t>
      </w:r>
      <w:r w:rsidRPr="009946FD">
        <w:rPr>
          <w:rFonts w:ascii="Times New Roman" w:hAnsi="Times New Roman"/>
          <w:sz w:val="24"/>
          <w:szCs w:val="24"/>
          <w:lang w:val="ru-RU"/>
        </w:rPr>
        <w:t>. У њему се ауторка бави начином приказивања стварности, односно веродостојношћу испричаног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 стратегиј</w:t>
      </w:r>
      <w:r w:rsidRPr="00122862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ма које казивач користи да би свој наратив учинио таквим</w:t>
      </w:r>
      <w:r w:rsidRPr="009946FD">
        <w:rPr>
          <w:rFonts w:ascii="Times New Roman" w:hAnsi="Times New Roman"/>
          <w:sz w:val="24"/>
          <w:szCs w:val="24"/>
          <w:lang w:val="ru-RU"/>
        </w:rPr>
        <w:t xml:space="preserve">, што већ први део наслова, који представља цитат из приче, недвосмислено указује, док други његов део, који се именује као </w:t>
      </w:r>
      <w:r>
        <w:rPr>
          <w:rFonts w:ascii="Times New Roman" w:hAnsi="Times New Roman"/>
          <w:sz w:val="24"/>
          <w:szCs w:val="24"/>
          <w:lang w:val="ru-RU"/>
        </w:rPr>
        <w:t>„дискурс верности”</w:t>
      </w:r>
      <w:r w:rsidRPr="009946F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946FD">
        <w:rPr>
          <w:rFonts w:ascii="Times New Roman" w:hAnsi="Times New Roman"/>
          <w:sz w:val="24"/>
          <w:szCs w:val="24"/>
          <w:lang w:val="sr-Cyrl-CS"/>
        </w:rPr>
        <w:t xml:space="preserve">то и </w:t>
      </w:r>
      <w:r w:rsidRPr="009946FD">
        <w:rPr>
          <w:rFonts w:ascii="Times New Roman" w:hAnsi="Times New Roman"/>
          <w:sz w:val="24"/>
          <w:szCs w:val="24"/>
          <w:lang w:val="ru-RU"/>
        </w:rPr>
        <w:t xml:space="preserve">експлицира, а детаљне анализе на вешто изабраним примерима и доследно спроведеном методологијом  показују.  </w:t>
      </w:r>
    </w:p>
    <w:p w:rsidR="00C02D75" w:rsidRPr="009946FD" w:rsidRDefault="00C02D75" w:rsidP="00FC4613">
      <w:pPr>
        <w:pStyle w:val="ListParagraph"/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sr-Cyrl-CS"/>
        </w:rPr>
      </w:pPr>
      <w:r w:rsidRPr="009946FD">
        <w:rPr>
          <w:rFonts w:ascii="Times New Roman" w:hAnsi="Times New Roman"/>
          <w:sz w:val="24"/>
          <w:szCs w:val="24"/>
          <w:lang w:val="ru-RU"/>
        </w:rPr>
        <w:t>Следе два међусобно тесно тематски повезана рада, у којима истраживач пропитује време-простор ове сложене категорије народне прозе</w:t>
      </w:r>
      <w:r>
        <w:rPr>
          <w:rFonts w:ascii="Times New Roman" w:hAnsi="Times New Roman"/>
          <w:sz w:val="24"/>
          <w:szCs w:val="24"/>
          <w:lang w:val="ru-RU"/>
        </w:rPr>
        <w:t>, односно хронотоп приче</w:t>
      </w:r>
      <w:r w:rsidRPr="009946FD">
        <w:rPr>
          <w:rFonts w:ascii="Times New Roman" w:hAnsi="Times New Roman"/>
          <w:sz w:val="24"/>
          <w:szCs w:val="24"/>
          <w:lang w:val="ru-RU"/>
        </w:rPr>
        <w:t xml:space="preserve"> и</w:t>
      </w:r>
      <w:r>
        <w:rPr>
          <w:rFonts w:ascii="Times New Roman" w:hAnsi="Times New Roman"/>
          <w:sz w:val="24"/>
          <w:szCs w:val="24"/>
          <w:lang w:val="ru-RU"/>
        </w:rPr>
        <w:t xml:space="preserve"> време-простор у оквиру којег прича настаје и обликује се. И</w:t>
      </w:r>
      <w:r w:rsidRPr="009946FD">
        <w:rPr>
          <w:rFonts w:ascii="Times New Roman" w:hAnsi="Times New Roman"/>
          <w:sz w:val="24"/>
          <w:szCs w:val="24"/>
          <w:lang w:val="ru-RU"/>
        </w:rPr>
        <w:t xml:space="preserve"> они носе наслове</w:t>
      </w:r>
      <w:r w:rsidRPr="009946F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946FD">
        <w:rPr>
          <w:rFonts w:ascii="Times New Roman" w:hAnsi="Times New Roman"/>
          <w:sz w:val="24"/>
          <w:szCs w:val="24"/>
          <w:lang w:val="ru-RU"/>
        </w:rPr>
        <w:t>«</w:t>
      </w:r>
      <w:r w:rsidRPr="009946FD">
        <w:rPr>
          <w:rFonts w:ascii="Times New Roman" w:hAnsi="Times New Roman"/>
          <w:i/>
          <w:sz w:val="24"/>
          <w:szCs w:val="24"/>
          <w:lang w:val="ru-RU"/>
        </w:rPr>
        <w:t>Прилеже мрак на планине</w:t>
      </w:r>
      <w:r w:rsidRPr="009946FD">
        <w:rPr>
          <w:rFonts w:ascii="Times New Roman" w:hAnsi="Times New Roman"/>
          <w:sz w:val="24"/>
          <w:szCs w:val="24"/>
          <w:lang w:val="ru-RU"/>
        </w:rPr>
        <w:t xml:space="preserve">: прилог проучавању 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времена у </w:t>
      </w:r>
      <w:r w:rsidRPr="009946FD">
        <w:rPr>
          <w:rFonts w:ascii="Times New Roman" w:hAnsi="Times New Roman"/>
          <w:sz w:val="24"/>
          <w:szCs w:val="24"/>
          <w:lang w:val="ru-RU"/>
        </w:rPr>
        <w:t>демонолошки</w:t>
      </w:r>
      <w:r w:rsidRPr="00122862">
        <w:rPr>
          <w:rFonts w:ascii="Times New Roman" w:hAnsi="Times New Roman"/>
          <w:sz w:val="24"/>
          <w:szCs w:val="24"/>
          <w:lang w:val="ru-RU"/>
        </w:rPr>
        <w:t>м</w:t>
      </w:r>
      <w:r w:rsidRPr="009946FD">
        <w:rPr>
          <w:rFonts w:ascii="Times New Roman" w:hAnsi="Times New Roman"/>
          <w:sz w:val="24"/>
          <w:szCs w:val="24"/>
          <w:lang w:val="ru-RU"/>
        </w:rPr>
        <w:t xml:space="preserve"> предањ</w:t>
      </w:r>
      <w:r w:rsidRPr="00122862">
        <w:rPr>
          <w:rFonts w:ascii="Times New Roman" w:hAnsi="Times New Roman"/>
          <w:sz w:val="24"/>
          <w:szCs w:val="24"/>
          <w:lang w:val="ru-RU"/>
        </w:rPr>
        <w:t>има</w:t>
      </w:r>
      <w:r w:rsidRPr="009946FD">
        <w:rPr>
          <w:rFonts w:ascii="Times New Roman" w:hAnsi="Times New Roman"/>
          <w:sz w:val="24"/>
          <w:szCs w:val="24"/>
          <w:lang w:val="sr-Cyrl-CS"/>
        </w:rPr>
        <w:t>“, и</w:t>
      </w:r>
      <w:r w:rsidRPr="009946FD">
        <w:rPr>
          <w:rFonts w:ascii="Times New Roman" w:hAnsi="Times New Roman"/>
          <w:sz w:val="24"/>
          <w:szCs w:val="24"/>
          <w:lang w:val="ru-RU"/>
        </w:rPr>
        <w:t xml:space="preserve"> «</w:t>
      </w:r>
      <w:r w:rsidRPr="00122862">
        <w:rPr>
          <w:rFonts w:ascii="Times New Roman" w:hAnsi="Times New Roman"/>
          <w:i/>
          <w:sz w:val="24"/>
          <w:szCs w:val="24"/>
          <w:lang w:val="ru-RU"/>
        </w:rPr>
        <w:t>Од саг па натам да знаш</w:t>
      </w:r>
      <w:r w:rsidRPr="00122862">
        <w:rPr>
          <w:rFonts w:ascii="Times New Roman" w:hAnsi="Times New Roman"/>
          <w:sz w:val="24"/>
          <w:szCs w:val="24"/>
          <w:lang w:val="ru-RU"/>
        </w:rPr>
        <w:t>: о с</w:t>
      </w:r>
      <w:r w:rsidRPr="009946FD">
        <w:rPr>
          <w:rFonts w:ascii="Times New Roman" w:hAnsi="Times New Roman"/>
          <w:sz w:val="24"/>
          <w:szCs w:val="24"/>
          <w:lang w:val="ru-RU"/>
        </w:rPr>
        <w:t>пољашњ</w:t>
      </w:r>
      <w:r w:rsidRPr="00122862">
        <w:rPr>
          <w:rFonts w:ascii="Times New Roman" w:hAnsi="Times New Roman"/>
          <w:sz w:val="24"/>
          <w:szCs w:val="24"/>
          <w:lang w:val="ru-RU"/>
        </w:rPr>
        <w:t>ем</w:t>
      </w:r>
      <w:r w:rsidRPr="009946FD">
        <w:rPr>
          <w:rFonts w:ascii="Times New Roman" w:hAnsi="Times New Roman"/>
          <w:sz w:val="24"/>
          <w:szCs w:val="24"/>
          <w:lang w:val="ru-RU"/>
        </w:rPr>
        <w:t xml:space="preserve"> хронотопу демонолошких предања» којима се, такође у аналогно грађеним насловима,</w:t>
      </w:r>
      <w:r>
        <w:rPr>
          <w:rFonts w:ascii="Times New Roman" w:hAnsi="Times New Roman"/>
          <w:sz w:val="24"/>
          <w:szCs w:val="24"/>
          <w:lang w:val="ru-RU"/>
        </w:rPr>
        <w:t xml:space="preserve"> алудира на природу анализиране грађе, али и</w:t>
      </w:r>
      <w:r w:rsidRPr="009946FD">
        <w:rPr>
          <w:rFonts w:ascii="Times New Roman" w:hAnsi="Times New Roman"/>
          <w:sz w:val="24"/>
          <w:szCs w:val="24"/>
          <w:lang w:val="ru-RU"/>
        </w:rPr>
        <w:t xml:space="preserve">  недвосмислено указује на предмет испитивања</w:t>
      </w:r>
      <w:r>
        <w:rPr>
          <w:rFonts w:ascii="Times New Roman" w:hAnsi="Times New Roman"/>
          <w:sz w:val="24"/>
          <w:szCs w:val="24"/>
          <w:lang w:val="ru-RU"/>
        </w:rPr>
        <w:t>, што се даље анализама и показује</w:t>
      </w:r>
      <w:r w:rsidRPr="009946FD">
        <w:rPr>
          <w:rFonts w:ascii="Times New Roman" w:hAnsi="Times New Roman"/>
          <w:sz w:val="24"/>
          <w:szCs w:val="24"/>
          <w:lang w:val="ru-RU"/>
        </w:rPr>
        <w:t>.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C02D75" w:rsidRPr="009946FD" w:rsidRDefault="00C02D75" w:rsidP="00FC4613">
      <w:pPr>
        <w:pStyle w:val="ListParagraph"/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sr-Cyrl-CS"/>
        </w:rPr>
      </w:pPr>
      <w:r w:rsidRPr="009946FD">
        <w:rPr>
          <w:rFonts w:ascii="Times New Roman" w:hAnsi="Times New Roman"/>
          <w:sz w:val="24"/>
          <w:szCs w:val="24"/>
          <w:lang w:val="ru-RU"/>
        </w:rPr>
        <w:t>У првом од два</w:t>
      </w:r>
      <w:r>
        <w:rPr>
          <w:rFonts w:ascii="Times New Roman" w:hAnsi="Times New Roman"/>
          <w:sz w:val="24"/>
          <w:szCs w:val="24"/>
          <w:lang w:val="ru-RU"/>
        </w:rPr>
        <w:t xml:space="preserve"> поменута</w:t>
      </w:r>
      <w:r w:rsidRPr="009946FD">
        <w:rPr>
          <w:rFonts w:ascii="Times New Roman" w:hAnsi="Times New Roman"/>
          <w:sz w:val="24"/>
          <w:szCs w:val="24"/>
          <w:lang w:val="ru-RU"/>
        </w:rPr>
        <w:t xml:space="preserve"> рада </w:t>
      </w:r>
      <w:r>
        <w:rPr>
          <w:rFonts w:ascii="Times New Roman" w:hAnsi="Times New Roman"/>
          <w:sz w:val="24"/>
          <w:szCs w:val="24"/>
          <w:lang w:val="ru-RU"/>
        </w:rPr>
        <w:t>у којима се испитује време-простор демонолошких предања, наиме, настоји се показати</w:t>
      </w:r>
      <w:r w:rsidRPr="009946FD">
        <w:rPr>
          <w:rFonts w:ascii="Times New Roman" w:hAnsi="Times New Roman"/>
          <w:sz w:val="24"/>
          <w:szCs w:val="24"/>
          <w:lang w:val="ru-RU"/>
        </w:rPr>
        <w:t xml:space="preserve"> како је 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схватање</w:t>
      </w:r>
      <w:r w:rsidRPr="009946F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 њима</w:t>
      </w:r>
      <w:r w:rsidRPr="009946F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непосредно повезано с начином мишљења и осећања пре-модерног човека.</w:t>
      </w:r>
      <w:r>
        <w:rPr>
          <w:rFonts w:ascii="Times New Roman" w:hAnsi="Times New Roman"/>
          <w:sz w:val="24"/>
          <w:szCs w:val="24"/>
          <w:lang w:val="sr-Cyrl-CS"/>
        </w:rPr>
        <w:t xml:space="preserve"> Јер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његовим представама, ове категорије су материјализоване“, „предметно-чулне“; оне</w:t>
      </w:r>
      <w:r>
        <w:rPr>
          <w:rFonts w:ascii="Times New Roman" w:hAnsi="Times New Roman"/>
          <w:sz w:val="24"/>
          <w:szCs w:val="24"/>
          <w:lang w:val="sr-Cyrl-CS"/>
        </w:rPr>
        <w:t>, како ауторка даље каже: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 „одређују и уређују свет, људско и божанско постојање“. Време-простор, дакле, за човека премодерног доба, </w:t>
      </w:r>
      <w:r>
        <w:rPr>
          <w:rFonts w:ascii="Times New Roman" w:hAnsi="Times New Roman"/>
          <w:sz w:val="24"/>
          <w:szCs w:val="24"/>
          <w:lang w:val="sr-Cyrl-CS"/>
        </w:rPr>
        <w:t xml:space="preserve">такође се </w:t>
      </w:r>
      <w:r w:rsidRPr="009946FD">
        <w:rPr>
          <w:rFonts w:ascii="Times New Roman" w:hAnsi="Times New Roman"/>
          <w:sz w:val="24"/>
          <w:szCs w:val="24"/>
          <w:lang w:val="sr-Cyrl-CS"/>
        </w:rPr>
        <w:t>каже</w:t>
      </w:r>
      <w:r>
        <w:rPr>
          <w:rFonts w:ascii="Times New Roman" w:hAnsi="Times New Roman"/>
          <w:sz w:val="24"/>
          <w:szCs w:val="24"/>
          <w:lang w:val="sr-Cyrl-CS"/>
        </w:rPr>
        <w:t xml:space="preserve"> и показује: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„</w:t>
      </w:r>
      <w:r w:rsidRPr="00122862">
        <w:rPr>
          <w:rFonts w:ascii="Times New Roman" w:hAnsi="Times New Roman"/>
          <w:sz w:val="24"/>
          <w:szCs w:val="24"/>
          <w:lang w:val="ru-RU"/>
        </w:rPr>
        <w:t>погодно</w:t>
      </w:r>
      <w:r>
        <w:rPr>
          <w:rFonts w:ascii="Times New Roman" w:hAnsi="Times New Roman"/>
          <w:sz w:val="24"/>
          <w:szCs w:val="24"/>
          <w:lang w:val="sr-Cyrl-CS"/>
        </w:rPr>
        <w:t>“ је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за неке радње, опасно за друге, па се  поменути наративи</w:t>
      </w:r>
      <w:r>
        <w:rPr>
          <w:rFonts w:ascii="Times New Roman" w:hAnsi="Times New Roman"/>
          <w:sz w:val="24"/>
          <w:szCs w:val="24"/>
          <w:lang w:val="sr-Cyrl-CS"/>
        </w:rPr>
        <w:t>, коју су у премодерно стање  да тако кажем, укотвљени, и</w:t>
      </w:r>
      <w:r>
        <w:rPr>
          <w:rFonts w:ascii="Times New Roman" w:hAnsi="Times New Roman"/>
          <w:sz w:val="24"/>
          <w:szCs w:val="24"/>
          <w:lang w:val="ru-RU"/>
        </w:rPr>
        <w:t xml:space="preserve"> одвијају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у таквом окружењу које, аналогно свом семантичко-симболичком набоју, припада човеку или  демону. </w:t>
      </w:r>
      <w:r w:rsidRPr="009946FD">
        <w:rPr>
          <w:rFonts w:ascii="Times New Roman" w:hAnsi="Times New Roman"/>
          <w:sz w:val="24"/>
          <w:szCs w:val="24"/>
          <w:lang w:val="sr-Cyrl-CS"/>
        </w:rPr>
        <w:t>Све то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9946FD">
        <w:rPr>
          <w:rFonts w:ascii="Times New Roman" w:hAnsi="Times New Roman"/>
          <w:sz w:val="24"/>
          <w:szCs w:val="24"/>
          <w:lang w:val="sr-Cyrl-CS"/>
        </w:rPr>
        <w:t xml:space="preserve"> илустровано </w:t>
      </w:r>
      <w:r>
        <w:rPr>
          <w:rFonts w:ascii="Times New Roman" w:hAnsi="Times New Roman"/>
          <w:sz w:val="24"/>
          <w:szCs w:val="24"/>
          <w:lang w:val="sr-Cyrl-CS"/>
        </w:rPr>
        <w:t>је</w:t>
      </w:r>
      <w:r w:rsidRPr="009946FD">
        <w:rPr>
          <w:rFonts w:ascii="Times New Roman" w:hAnsi="Times New Roman"/>
          <w:sz w:val="24"/>
          <w:szCs w:val="24"/>
          <w:lang w:val="sr-Cyrl-CS"/>
        </w:rPr>
        <w:t xml:space="preserve"> пример</w:t>
      </w:r>
      <w:r>
        <w:rPr>
          <w:rFonts w:ascii="Times New Roman" w:hAnsi="Times New Roman"/>
          <w:sz w:val="24"/>
          <w:szCs w:val="24"/>
          <w:lang w:val="sr-Cyrl-CS"/>
        </w:rPr>
        <w:t>има</w:t>
      </w:r>
      <w:r w:rsidRPr="009946FD">
        <w:rPr>
          <w:rFonts w:ascii="Times New Roman" w:hAnsi="Times New Roman"/>
          <w:sz w:val="24"/>
          <w:szCs w:val="24"/>
          <w:lang w:val="sr-Cyrl-CS"/>
        </w:rPr>
        <w:t xml:space="preserve"> и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запажањима о природи времена</w:t>
      </w:r>
      <w:r>
        <w:rPr>
          <w:rFonts w:ascii="Times New Roman" w:hAnsi="Times New Roman"/>
          <w:sz w:val="24"/>
          <w:szCs w:val="24"/>
          <w:lang w:val="sr-Cyrl-CS"/>
        </w:rPr>
        <w:t xml:space="preserve"> (и простора) </w:t>
      </w:r>
      <w:r w:rsidRPr="00122862">
        <w:rPr>
          <w:rFonts w:ascii="Times New Roman" w:hAnsi="Times New Roman"/>
          <w:sz w:val="24"/>
          <w:szCs w:val="24"/>
          <w:lang w:val="ru-RU"/>
        </w:rPr>
        <w:t>у коме се демон појављује и нестаје</w:t>
      </w:r>
      <w:r>
        <w:rPr>
          <w:rFonts w:ascii="Times New Roman" w:hAnsi="Times New Roman"/>
          <w:sz w:val="24"/>
          <w:szCs w:val="24"/>
          <w:lang w:val="sr-Cyrl-CS"/>
        </w:rPr>
        <w:t xml:space="preserve">  и, како ауторка показује: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кодирано је традиционалим мишљењем и сензибилитетом, а припада суштинским обележјима демонолошких предања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C02D75" w:rsidRPr="00122862" w:rsidRDefault="00C02D75" w:rsidP="00A50115">
      <w:pPr>
        <w:pStyle w:val="ListParagraph"/>
        <w:spacing w:line="360" w:lineRule="auto"/>
        <w:ind w:left="0" w:firstLine="567"/>
        <w:jc w:val="both"/>
        <w:rPr>
          <w:rFonts w:ascii="Times New Roman" w:hAnsi="Times New Roman"/>
          <w:lang w:val="ru-RU"/>
        </w:rPr>
      </w:pPr>
      <w:r w:rsidRPr="002239FC">
        <w:rPr>
          <w:rFonts w:ascii="Times New Roman" w:hAnsi="Times New Roman"/>
          <w:sz w:val="24"/>
          <w:szCs w:val="24"/>
          <w:lang w:val="sr-Cyrl-CS"/>
        </w:rPr>
        <w:t xml:space="preserve">У другој студији </w:t>
      </w:r>
      <w:r>
        <w:rPr>
          <w:rFonts w:ascii="Times New Roman" w:hAnsi="Times New Roman"/>
          <w:sz w:val="24"/>
          <w:szCs w:val="24"/>
          <w:lang w:val="sr-Cyrl-CS"/>
        </w:rPr>
        <w:t>из овог тематског круга, Данијела Поповић Николић</w:t>
      </w:r>
      <w:r w:rsidRPr="002239FC">
        <w:rPr>
          <w:rFonts w:ascii="Times New Roman" w:hAnsi="Times New Roman"/>
          <w:sz w:val="24"/>
          <w:szCs w:val="24"/>
          <w:lang w:val="sr-Cyrl-CS"/>
        </w:rPr>
        <w:t xml:space="preserve"> се бави хронотопом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239FC">
        <w:rPr>
          <w:rFonts w:ascii="Times New Roman" w:hAnsi="Times New Roman"/>
          <w:sz w:val="24"/>
          <w:szCs w:val="24"/>
          <w:lang w:val="sr-Cyrl-CS"/>
        </w:rPr>
        <w:t>као чиниоцем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комуникацијског процеса</w:t>
      </w:r>
      <w:r w:rsidRPr="002239FC">
        <w:rPr>
          <w:rFonts w:ascii="Times New Roman" w:hAnsi="Times New Roman"/>
          <w:sz w:val="24"/>
          <w:szCs w:val="24"/>
          <w:lang w:val="sr-Cyrl-CS"/>
        </w:rPr>
        <w:t>,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у коме се ствара дело</w:t>
      </w:r>
      <w:r w:rsidRPr="002239FC">
        <w:rPr>
          <w:rFonts w:ascii="Times New Roman" w:hAnsi="Times New Roman"/>
          <w:sz w:val="24"/>
          <w:szCs w:val="24"/>
          <w:lang w:val="sr-Cyrl-CS"/>
        </w:rPr>
        <w:t>, а који се, наравно,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разликује  од време</w:t>
      </w:r>
      <w:r w:rsidRPr="002239FC">
        <w:rPr>
          <w:rFonts w:ascii="Times New Roman" w:hAnsi="Times New Roman"/>
          <w:sz w:val="24"/>
          <w:szCs w:val="24"/>
          <w:lang w:val="sr-Cyrl-CS"/>
        </w:rPr>
        <w:t>-</w:t>
      </w:r>
      <w:r w:rsidRPr="00122862">
        <w:rPr>
          <w:rFonts w:ascii="Times New Roman" w:hAnsi="Times New Roman"/>
          <w:sz w:val="24"/>
          <w:szCs w:val="24"/>
          <w:lang w:val="ru-RU"/>
        </w:rPr>
        <w:t>простора у коме бораве ликови</w:t>
      </w:r>
      <w:r w:rsidRPr="002239FC">
        <w:rPr>
          <w:rFonts w:ascii="Times New Roman" w:hAnsi="Times New Roman"/>
          <w:sz w:val="24"/>
          <w:szCs w:val="24"/>
          <w:lang w:val="sr-Cyrl-CS"/>
        </w:rPr>
        <w:t xml:space="preserve">. Овај, </w:t>
      </w:r>
      <w:r>
        <w:rPr>
          <w:rFonts w:ascii="Times New Roman" w:hAnsi="Times New Roman"/>
          <w:sz w:val="24"/>
          <w:szCs w:val="24"/>
          <w:lang w:val="sr-Cyrl-CS"/>
        </w:rPr>
        <w:t>„</w:t>
      </w:r>
      <w:r w:rsidRPr="002239FC">
        <w:rPr>
          <w:rFonts w:ascii="Times New Roman" w:hAnsi="Times New Roman"/>
          <w:sz w:val="24"/>
          <w:szCs w:val="24"/>
          <w:lang w:val="sr-Cyrl-CS"/>
        </w:rPr>
        <w:t>спољашњи хронотоп</w:t>
      </w:r>
      <w:r>
        <w:rPr>
          <w:rFonts w:ascii="Times New Roman" w:hAnsi="Times New Roman"/>
          <w:sz w:val="24"/>
          <w:szCs w:val="24"/>
          <w:lang w:val="sr-Cyrl-CS"/>
        </w:rPr>
        <w:t>“</w:t>
      </w:r>
      <w:r w:rsidRPr="002239FC">
        <w:rPr>
          <w:rFonts w:ascii="Times New Roman" w:hAnsi="Times New Roman"/>
          <w:sz w:val="24"/>
          <w:szCs w:val="24"/>
          <w:lang w:val="sr-Cyrl-CS"/>
        </w:rPr>
        <w:t>, у  некој</w:t>
      </w:r>
      <w:r>
        <w:rPr>
          <w:rFonts w:ascii="Times New Roman" w:hAnsi="Times New Roman"/>
          <w:sz w:val="24"/>
          <w:szCs w:val="24"/>
          <w:lang w:val="sr-Cyrl-CS"/>
        </w:rPr>
        <w:t>, рекла бих,</w:t>
      </w:r>
      <w:r w:rsidRPr="002239FC">
        <w:rPr>
          <w:rFonts w:ascii="Times New Roman" w:hAnsi="Times New Roman"/>
          <w:sz w:val="24"/>
          <w:szCs w:val="24"/>
          <w:lang w:val="sr-Cyrl-CS"/>
        </w:rPr>
        <w:t xml:space="preserve"> иделаној ситуацији</w:t>
      </w:r>
      <w:r>
        <w:rPr>
          <w:rFonts w:ascii="Times New Roman" w:hAnsi="Times New Roman"/>
          <w:sz w:val="24"/>
          <w:szCs w:val="24"/>
          <w:lang w:val="sr-Cyrl-CS"/>
        </w:rPr>
        <w:t xml:space="preserve"> (коју истраживач иначе тешко може досегнути),</w:t>
      </w:r>
      <w:r w:rsidRPr="002239FC">
        <w:rPr>
          <w:rFonts w:ascii="Times New Roman" w:hAnsi="Times New Roman"/>
          <w:sz w:val="24"/>
          <w:szCs w:val="24"/>
          <w:lang w:val="sr-Cyrl-CS"/>
        </w:rPr>
        <w:t xml:space="preserve"> обликује се у интеракцији казивача и слушалаца,</w:t>
      </w:r>
      <w:r w:rsidRPr="0012286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39FC">
        <w:rPr>
          <w:rFonts w:ascii="Times New Roman" w:hAnsi="Times New Roman"/>
          <w:sz w:val="24"/>
          <w:szCs w:val="24"/>
          <w:lang w:val="sr-Cyrl-CS"/>
        </w:rPr>
        <w:t>подједнако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2239F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122862">
        <w:rPr>
          <w:rFonts w:ascii="Times New Roman" w:hAnsi="Times New Roman"/>
          <w:sz w:val="24"/>
          <w:szCs w:val="24"/>
          <w:lang w:val="sr-Cyrl-CS"/>
        </w:rPr>
        <w:t>рефлектују</w:t>
      </w:r>
      <w:r w:rsidRPr="002239FC">
        <w:rPr>
          <w:rFonts w:ascii="Times New Roman" w:hAnsi="Times New Roman"/>
          <w:sz w:val="24"/>
          <w:szCs w:val="24"/>
          <w:lang w:val="sr-Cyrl-CS"/>
        </w:rPr>
        <w:t>ћи</w:t>
      </w:r>
      <w:r w:rsidRPr="00122862">
        <w:rPr>
          <w:rFonts w:ascii="Times New Roman" w:hAnsi="Times New Roman"/>
          <w:sz w:val="24"/>
          <w:szCs w:val="24"/>
          <w:lang w:val="sr-Cyrl-CS"/>
        </w:rPr>
        <w:t xml:space="preserve"> њихове представе, идеје, веровања, начин живљења</w:t>
      </w:r>
      <w:r w:rsidRPr="002239FC">
        <w:rPr>
          <w:rFonts w:ascii="Times New Roman" w:hAnsi="Times New Roman"/>
          <w:sz w:val="24"/>
          <w:szCs w:val="24"/>
          <w:lang w:val="sr-Cyrl-CS"/>
        </w:rPr>
        <w:t>, што се примерима</w:t>
      </w:r>
      <w:r>
        <w:rPr>
          <w:rFonts w:ascii="Times New Roman" w:hAnsi="Times New Roman"/>
          <w:sz w:val="24"/>
          <w:szCs w:val="24"/>
          <w:lang w:val="sr-Cyrl-CS"/>
        </w:rPr>
        <w:t>, нарочито кад је у питању казивач, овде</w:t>
      </w:r>
      <w:r w:rsidRPr="002239FC">
        <w:rPr>
          <w:rFonts w:ascii="Times New Roman" w:hAnsi="Times New Roman"/>
          <w:sz w:val="24"/>
          <w:szCs w:val="24"/>
          <w:lang w:val="sr-Cyrl-CS"/>
        </w:rPr>
        <w:t xml:space="preserve"> и </w:t>
      </w:r>
      <w:r>
        <w:rPr>
          <w:rFonts w:ascii="Times New Roman" w:hAnsi="Times New Roman"/>
          <w:sz w:val="24"/>
          <w:szCs w:val="24"/>
          <w:lang w:val="sr-Cyrl-CS"/>
        </w:rPr>
        <w:t>покушава</w:t>
      </w:r>
      <w:r w:rsidRPr="002239FC">
        <w:rPr>
          <w:rFonts w:ascii="Times New Roman" w:hAnsi="Times New Roman"/>
          <w:sz w:val="24"/>
          <w:szCs w:val="24"/>
          <w:lang w:val="sr-Cyrl-CS"/>
        </w:rPr>
        <w:t xml:space="preserve"> показати.</w:t>
      </w:r>
      <w:r w:rsidRPr="0012286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39FC">
        <w:rPr>
          <w:rFonts w:ascii="Times New Roman" w:hAnsi="Times New Roman"/>
          <w:sz w:val="24"/>
          <w:szCs w:val="24"/>
          <w:lang w:val="sr-Cyrl-CS"/>
        </w:rPr>
        <w:t xml:space="preserve"> Ауторка</w:t>
      </w:r>
      <w:r>
        <w:rPr>
          <w:rFonts w:ascii="Times New Roman" w:hAnsi="Times New Roman"/>
          <w:sz w:val="24"/>
          <w:szCs w:val="24"/>
          <w:lang w:val="sr-Cyrl-CS"/>
        </w:rPr>
        <w:t>, наиме,</w:t>
      </w:r>
      <w:r w:rsidRPr="002239F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између осталог, </w:t>
      </w:r>
      <w:r w:rsidRPr="002239FC">
        <w:rPr>
          <w:rFonts w:ascii="Times New Roman" w:hAnsi="Times New Roman"/>
          <w:sz w:val="24"/>
          <w:szCs w:val="24"/>
          <w:lang w:val="sr-Cyrl-CS"/>
        </w:rPr>
        <w:t xml:space="preserve">сматра 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да се </w:t>
      </w:r>
      <w:r w:rsidRPr="002239F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интензивније присуство </w:t>
      </w:r>
      <w:r>
        <w:rPr>
          <w:rFonts w:ascii="Times New Roman" w:hAnsi="Times New Roman"/>
          <w:sz w:val="24"/>
          <w:szCs w:val="24"/>
          <w:lang w:val="sr-Cyrl-CS"/>
        </w:rPr>
        <w:t>казивачевих искорака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из наративног време</w:t>
      </w:r>
      <w:r w:rsidRPr="002239FC">
        <w:rPr>
          <w:rFonts w:ascii="Times New Roman" w:hAnsi="Times New Roman"/>
          <w:sz w:val="24"/>
          <w:szCs w:val="24"/>
          <w:lang w:val="sr-Cyrl-CS"/>
        </w:rPr>
        <w:t>-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простора </w:t>
      </w:r>
      <w:r w:rsidRPr="002239FC">
        <w:rPr>
          <w:rFonts w:ascii="Times New Roman" w:hAnsi="Times New Roman"/>
          <w:sz w:val="24"/>
          <w:szCs w:val="24"/>
          <w:lang w:val="sr-Cyrl-CS"/>
        </w:rPr>
        <w:t xml:space="preserve"> и обраћа</w:t>
      </w:r>
      <w:r>
        <w:rPr>
          <w:rFonts w:ascii="Times New Roman" w:hAnsi="Times New Roman"/>
          <w:sz w:val="24"/>
          <w:szCs w:val="24"/>
          <w:lang w:val="sr-Cyrl-CS"/>
        </w:rPr>
        <w:t>ња</w:t>
      </w:r>
      <w:r w:rsidRPr="002239F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слушаоцима</w:t>
      </w:r>
      <w:r>
        <w:rPr>
          <w:rFonts w:ascii="Times New Roman" w:hAnsi="Times New Roman"/>
          <w:sz w:val="24"/>
          <w:szCs w:val="24"/>
          <w:lang w:val="sr-Cyrl-CS"/>
        </w:rPr>
        <w:t xml:space="preserve"> у н</w:t>
      </w:r>
      <w:r w:rsidRPr="00122862">
        <w:rPr>
          <w:rFonts w:ascii="Times New Roman" w:hAnsi="Times New Roman"/>
          <w:sz w:val="24"/>
          <w:szCs w:val="24"/>
          <w:lang w:val="ru-RU"/>
        </w:rPr>
        <w:t>овијим записима демонолошких предања мо</w:t>
      </w:r>
      <w:r>
        <w:rPr>
          <w:rFonts w:ascii="Times New Roman" w:hAnsi="Times New Roman"/>
          <w:sz w:val="24"/>
          <w:szCs w:val="24"/>
          <w:lang w:val="sr-Cyrl-CS"/>
        </w:rPr>
        <w:t>же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објаснити  </w:t>
      </w:r>
      <w:r>
        <w:rPr>
          <w:rFonts w:ascii="Times New Roman" w:hAnsi="Times New Roman"/>
          <w:sz w:val="24"/>
          <w:szCs w:val="24"/>
          <w:lang w:val="sr-Cyrl-CS"/>
        </w:rPr>
        <w:t xml:space="preserve">потребом да 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они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разуме</w:t>
      </w:r>
      <w:r>
        <w:rPr>
          <w:rFonts w:ascii="Times New Roman" w:hAnsi="Times New Roman"/>
          <w:sz w:val="24"/>
          <w:szCs w:val="24"/>
          <w:lang w:val="sr-Cyrl-CS"/>
        </w:rPr>
        <w:t>ју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примљену информацију. </w:t>
      </w:r>
      <w:r>
        <w:rPr>
          <w:rFonts w:ascii="Times New Roman" w:hAnsi="Times New Roman"/>
          <w:sz w:val="24"/>
          <w:szCs w:val="24"/>
          <w:lang w:val="sr-Cyrl-CS"/>
        </w:rPr>
        <w:t>Јер слушаоци, како се с правом мисли,</w:t>
      </w:r>
      <w:r w:rsidRPr="002239FC">
        <w:rPr>
          <w:rFonts w:ascii="Times New Roman" w:hAnsi="Times New Roman"/>
          <w:sz w:val="24"/>
          <w:szCs w:val="24"/>
          <w:lang w:val="sr-Cyrl-CS"/>
        </w:rPr>
        <w:t xml:space="preserve"> нема</w:t>
      </w:r>
      <w:r>
        <w:rPr>
          <w:rFonts w:ascii="Times New Roman" w:hAnsi="Times New Roman"/>
          <w:sz w:val="24"/>
          <w:szCs w:val="24"/>
          <w:lang w:val="sr-Cyrl-CS"/>
        </w:rPr>
        <w:t>ју</w:t>
      </w:r>
      <w:r w:rsidRPr="002239FC">
        <w:rPr>
          <w:rFonts w:ascii="Times New Roman" w:hAnsi="Times New Roman"/>
          <w:sz w:val="24"/>
          <w:szCs w:val="24"/>
          <w:lang w:val="sr-Cyrl-CS"/>
        </w:rPr>
        <w:t xml:space="preserve">  одговарајућа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знања 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Pr="00122862">
        <w:rPr>
          <w:rFonts w:ascii="Times New Roman" w:hAnsi="Times New Roman"/>
          <w:sz w:val="24"/>
          <w:szCs w:val="24"/>
          <w:lang w:val="ru-RU"/>
        </w:rPr>
        <w:t>и свест о веровању кој</w:t>
      </w:r>
      <w:r>
        <w:rPr>
          <w:rFonts w:ascii="Times New Roman" w:hAnsi="Times New Roman"/>
          <w:sz w:val="24"/>
          <w:szCs w:val="24"/>
          <w:lang w:val="sr-Cyrl-CS"/>
        </w:rPr>
        <w:t>и су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подлога приповеданом, 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39FC">
        <w:rPr>
          <w:rFonts w:ascii="Times New Roman" w:hAnsi="Times New Roman"/>
          <w:sz w:val="24"/>
          <w:szCs w:val="24"/>
          <w:lang w:val="sr-Cyrl-CS"/>
        </w:rPr>
        <w:t>па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казивач</w:t>
      </w:r>
      <w:r>
        <w:rPr>
          <w:rFonts w:ascii="Times New Roman" w:hAnsi="Times New Roman"/>
          <w:sz w:val="24"/>
          <w:szCs w:val="24"/>
          <w:lang w:val="sr-Cyrl-CS"/>
        </w:rPr>
        <w:t xml:space="preserve"> евентуалну  „грешку у разумевању“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покушава да анулира поменутим интервенцијама</w:t>
      </w:r>
      <w:r>
        <w:rPr>
          <w:rFonts w:ascii="Times New Roman" w:hAnsi="Times New Roman"/>
          <w:sz w:val="24"/>
          <w:szCs w:val="24"/>
          <w:lang w:val="sr-Cyrl-CS"/>
        </w:rPr>
        <w:t>: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„</w:t>
      </w:r>
      <w:r w:rsidRPr="00122862">
        <w:rPr>
          <w:rFonts w:ascii="Times New Roman" w:hAnsi="Times New Roman"/>
          <w:sz w:val="24"/>
          <w:szCs w:val="24"/>
          <w:lang w:val="ru-RU"/>
        </w:rPr>
        <w:t>Приповедајући о стварима „којијех нема“ (али их је, за верујуће, било), он улаже више напора како би утицао на свест слушалаца који ће у њихову истинитост веровати. Мера невероватног, с једне, и мера истинитости с друге стране, у предањима морају се наћи на нивоу једне мерне скале,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оне коју имају казивачи у замишљеној линији од </w:t>
      </w:r>
      <w:r w:rsidRPr="00122862">
        <w:rPr>
          <w:rFonts w:ascii="Times New Roman" w:hAnsi="Times New Roman"/>
          <w:i/>
          <w:sz w:val="24"/>
          <w:szCs w:val="24"/>
          <w:lang w:val="ru-RU"/>
        </w:rPr>
        <w:t>не верујем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преко </w:t>
      </w:r>
      <w:r w:rsidRPr="00122862">
        <w:rPr>
          <w:rFonts w:ascii="Times New Roman" w:hAnsi="Times New Roman"/>
          <w:i/>
          <w:sz w:val="24"/>
          <w:szCs w:val="24"/>
          <w:lang w:val="ru-RU"/>
        </w:rPr>
        <w:t>сумњам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до </w:t>
      </w:r>
      <w:r w:rsidRPr="00122862">
        <w:rPr>
          <w:rFonts w:ascii="Times New Roman" w:hAnsi="Times New Roman"/>
          <w:i/>
          <w:sz w:val="24"/>
          <w:szCs w:val="24"/>
          <w:lang w:val="ru-RU"/>
        </w:rPr>
        <w:t>верујем</w:t>
      </w:r>
      <w:r w:rsidRPr="00122862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 xml:space="preserve">“ 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 у ту сврху, како се показује, казивач користи различите стратегије</w:t>
      </w:r>
      <w:r w:rsidRPr="00122862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„</w:t>
      </w:r>
      <w:r w:rsidRPr="00122862">
        <w:rPr>
          <w:rFonts w:ascii="Times New Roman" w:hAnsi="Times New Roman"/>
          <w:sz w:val="24"/>
          <w:szCs w:val="24"/>
          <w:lang w:val="ru-RU"/>
        </w:rPr>
        <w:t>Позив публици да поверује у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22862">
        <w:rPr>
          <w:rFonts w:ascii="Times New Roman" w:hAnsi="Times New Roman"/>
          <w:sz w:val="24"/>
          <w:szCs w:val="24"/>
          <w:lang w:val="ru-RU"/>
        </w:rPr>
        <w:t>испричано</w:t>
      </w:r>
      <w:r w:rsidRPr="00122862">
        <w:rPr>
          <w:rFonts w:ascii="Times New Roman" w:hAnsi="Times New Roman"/>
          <w:lang w:val="ru-RU"/>
        </w:rPr>
        <w:t xml:space="preserve">  израженији је уколико је дистанцираност публике према таквој тематици већа (или је тако доживљава казивач)</w:t>
      </w:r>
      <w:r>
        <w:rPr>
          <w:rFonts w:ascii="Times New Roman" w:hAnsi="Times New Roman"/>
          <w:lang w:val="sr-Cyrl-CS"/>
        </w:rPr>
        <w:t>“, што анализе и потврђују. (Зато што се овај рад бави пороцесом настанка приче, можда би га било упутно преместити у заглавље Књиге).</w:t>
      </w:r>
      <w:r w:rsidRPr="00122862">
        <w:rPr>
          <w:rFonts w:ascii="Times New Roman" w:hAnsi="Times New Roman"/>
          <w:lang w:val="ru-RU"/>
        </w:rPr>
        <w:t xml:space="preserve"> </w:t>
      </w:r>
    </w:p>
    <w:p w:rsidR="00C02D75" w:rsidRDefault="00C02D75" w:rsidP="006047AE">
      <w:pPr>
        <w:spacing w:line="360" w:lineRule="auto"/>
        <w:ind w:firstLine="720"/>
        <w:jc w:val="both"/>
        <w:rPr>
          <w:lang w:val="ru-RU"/>
        </w:rPr>
      </w:pPr>
      <w:r>
        <w:rPr>
          <w:lang w:val="ru-RU"/>
        </w:rPr>
        <w:t>Посебна студија  под насловом „</w:t>
      </w:r>
      <w:r w:rsidRPr="00381AD8">
        <w:rPr>
          <w:i/>
          <w:lang w:val="ru-RU"/>
        </w:rPr>
        <w:t>У л</w:t>
      </w:r>
      <w:r w:rsidRPr="00381AD8">
        <w:rPr>
          <w:i/>
          <w:color w:val="000000"/>
        </w:rPr>
        <w:t>ево колено</w:t>
      </w:r>
      <w:r>
        <w:rPr>
          <w:color w:val="000000"/>
        </w:rPr>
        <w:t>: функција псовке у демонолошком предању“, која следи (и следи исту идеју насловљавања), посвећена је испитивању ове фолклорне врсте и њене позиције у демонолошким предањима. Псовка је, како ауторка наглашава, функционална, будући да представља</w:t>
      </w:r>
      <w:r w:rsidRPr="00BD0C88">
        <w:rPr>
          <w:lang w:val="ru-RU"/>
        </w:rPr>
        <w:t xml:space="preserve"> </w:t>
      </w:r>
      <w:r>
        <w:rPr>
          <w:lang w:val="ru-RU"/>
        </w:rPr>
        <w:t xml:space="preserve">не само </w:t>
      </w:r>
      <w:r w:rsidRPr="00BD0C88">
        <w:rPr>
          <w:lang w:val="ru-RU"/>
        </w:rPr>
        <w:t>људски глас, као „најснажнији и најуочљивији маркер овог света“</w:t>
      </w:r>
      <w:r>
        <w:rPr>
          <w:lang w:val="ru-RU"/>
        </w:rPr>
        <w:t>,</w:t>
      </w:r>
      <w:r w:rsidRPr="00BD0C88">
        <w:rPr>
          <w:lang w:val="ru-RU"/>
        </w:rPr>
        <w:t xml:space="preserve"> </w:t>
      </w:r>
      <w:r>
        <w:rPr>
          <w:lang w:val="ru-RU"/>
        </w:rPr>
        <w:t xml:space="preserve">већ и садржај </w:t>
      </w:r>
      <w:r w:rsidRPr="00BD0C88">
        <w:rPr>
          <w:lang w:val="ru-RU"/>
        </w:rPr>
        <w:t>који  гони демона</w:t>
      </w:r>
      <w:r>
        <w:rPr>
          <w:lang w:val="ru-RU"/>
        </w:rPr>
        <w:t>, прво у</w:t>
      </w:r>
      <w:r w:rsidRPr="00BD0C88">
        <w:rPr>
          <w:lang w:val="ru-RU"/>
        </w:rPr>
        <w:t xml:space="preserve"> </w:t>
      </w:r>
      <w:r>
        <w:rPr>
          <w:color w:val="000000"/>
        </w:rPr>
        <w:t>„г</w:t>
      </w:r>
      <w:r w:rsidRPr="00BD0C88">
        <w:rPr>
          <w:lang w:val="ru-RU"/>
        </w:rPr>
        <w:t>ранице између ових светова</w:t>
      </w:r>
      <w:r>
        <w:rPr>
          <w:lang w:val="ru-RU"/>
        </w:rPr>
        <w:t>», а затим и даље,</w:t>
      </w:r>
      <w:r w:rsidRPr="00BD0C88">
        <w:rPr>
          <w:lang w:val="ru-RU"/>
        </w:rPr>
        <w:t xml:space="preserve"> </w:t>
      </w:r>
      <w:r>
        <w:rPr>
          <w:lang w:val="ru-RU"/>
        </w:rPr>
        <w:t>„</w:t>
      </w:r>
      <w:r w:rsidRPr="00BD0C88">
        <w:rPr>
          <w:lang w:val="ru-RU"/>
        </w:rPr>
        <w:t>како би се свако нашао на својој страни и напустио туђу</w:t>
      </w:r>
      <w:r>
        <w:rPr>
          <w:lang w:val="ru-RU"/>
        </w:rPr>
        <w:t>”</w:t>
      </w:r>
      <w:r w:rsidRPr="00BD0C88">
        <w:rPr>
          <w:lang w:val="ru-RU"/>
        </w:rPr>
        <w:t>. Као једно од таквих средстава</w:t>
      </w:r>
      <w:r>
        <w:rPr>
          <w:lang w:val="ru-RU"/>
        </w:rPr>
        <w:t>,</w:t>
      </w:r>
      <w:r w:rsidRPr="00BD0C88">
        <w:rPr>
          <w:lang w:val="ru-RU"/>
        </w:rPr>
        <w:t xml:space="preserve"> </w:t>
      </w:r>
      <w:r>
        <w:rPr>
          <w:lang w:val="ru-RU"/>
        </w:rPr>
        <w:t>заштитна али и нападачка функција псовке, дакле, у демонолошким предањима остварује се, захваљујући звучном ефекту и семантиком вербалног исказа, што је у раду вешто изабраним примерима и минуциозним анализама и показано.</w:t>
      </w:r>
    </w:p>
    <w:p w:rsidR="00C02D75" w:rsidRDefault="00C02D75" w:rsidP="00A31C00">
      <w:pPr>
        <w:spacing w:line="360" w:lineRule="auto"/>
        <w:ind w:firstLine="567"/>
        <w:jc w:val="both"/>
      </w:pPr>
      <w:r>
        <w:t>У два рада, који у рукопису ове књиге следе, ауторка се бави  функцијама и значењима биља и растиња, односно њиховом симболиком  у предањима. Првом студијом, под насловом: „</w:t>
      </w:r>
      <w:r w:rsidRPr="00F16A16">
        <w:t>Растиње и биље у демонолошким предањима</w:t>
      </w:r>
      <w:r>
        <w:t>“ настоји се обухватити  разноврснст  света флоре</w:t>
      </w:r>
      <w:r w:rsidRPr="00A16E19">
        <w:t xml:space="preserve"> у основним наративним компонентама </w:t>
      </w:r>
      <w:r>
        <w:t>приче. Затим се показује шта присуство неке врсте или појединачне биљке/растиња у одређеним тренуцима приче сигнализује,</w:t>
      </w:r>
      <w:r w:rsidRPr="003377BF">
        <w:t xml:space="preserve"> </w:t>
      </w:r>
      <w:r>
        <w:t>било да је реч о маркирању граничног простора, односно присуству демона или, на пример, закопаног блага и сл</w:t>
      </w:r>
      <w:r w:rsidRPr="00A16E19">
        <w:t xml:space="preserve">. </w:t>
      </w:r>
      <w:r>
        <w:t>При томе је,  како анализе показују, систем биљних сигнализатора повезан  с одређеним временским одредницама,  односно х</w:t>
      </w:r>
      <w:r w:rsidRPr="00844ED0">
        <w:rPr>
          <w:lang w:val="ru-RU"/>
        </w:rPr>
        <w:t xml:space="preserve">ронотоп демонолошких предања </w:t>
      </w:r>
      <w:r>
        <w:rPr>
          <w:lang w:val="ru-RU"/>
        </w:rPr>
        <w:t xml:space="preserve">је </w:t>
      </w:r>
      <w:r w:rsidRPr="00844ED0">
        <w:rPr>
          <w:lang w:val="ru-RU"/>
        </w:rPr>
        <w:t>типизиран</w:t>
      </w:r>
      <w:r>
        <w:rPr>
          <w:lang w:val="ru-RU"/>
        </w:rPr>
        <w:t xml:space="preserve"> и уједно кодиран биљком, тако да</w:t>
      </w:r>
      <w:r w:rsidRPr="00844ED0">
        <w:rPr>
          <w:lang w:val="ru-RU"/>
        </w:rPr>
        <w:t xml:space="preserve">   активирање  </w:t>
      </w:r>
      <w:r>
        <w:rPr>
          <w:lang w:val="ru-RU"/>
        </w:rPr>
        <w:t>„</w:t>
      </w:r>
      <w:r w:rsidRPr="00844ED0">
        <w:rPr>
          <w:lang w:val="ru-RU"/>
        </w:rPr>
        <w:t>једне његове компоненте може одредити и природу других</w:t>
      </w:r>
      <w:r>
        <w:rPr>
          <w:lang w:val="ru-RU"/>
        </w:rPr>
        <w:t>”</w:t>
      </w:r>
      <w:r w:rsidRPr="00844ED0">
        <w:rPr>
          <w:lang w:val="ru-RU"/>
        </w:rPr>
        <w:t xml:space="preserve"> </w:t>
      </w:r>
      <w:r>
        <w:t xml:space="preserve">У другом раду, под насловом: „Крушка у српској усменој прози и традиционалној култури“, ауторка се фокусира на једну врсту растиња, крушку. И њено присуство у демонолошким предањима, како се показује, условљено је чињеницом да је крушка у српској културној традицији, као и у древним религиозним представама свето </w:t>
      </w:r>
      <w:r w:rsidRPr="009B5700">
        <w:rPr>
          <w:rFonts w:ascii="Cambria Math" w:hAnsi="Cambria Math" w:cs="Cambria Math"/>
        </w:rPr>
        <w:t>‒</w:t>
      </w:r>
      <w:r>
        <w:rPr>
          <w:rFonts w:ascii="Cambria Math" w:hAnsi="Cambria Math" w:cs="Cambria Math"/>
        </w:rPr>
        <w:t xml:space="preserve"> </w:t>
      </w:r>
      <w:r>
        <w:t xml:space="preserve">демонско дрво, што демонолошко предање, као категорију усмене прозе, како ауторка показује, поново доводи у шири културни контекст. </w:t>
      </w:r>
    </w:p>
    <w:p w:rsidR="00C02D75" w:rsidRPr="001654A2" w:rsidRDefault="00C02D75" w:rsidP="0054556C">
      <w:pPr>
        <w:pStyle w:val="NoSpacing"/>
        <w:spacing w:line="360" w:lineRule="auto"/>
        <w:ind w:firstLine="567"/>
        <w:jc w:val="both"/>
      </w:pPr>
      <w:r w:rsidRPr="001654A2">
        <w:t>Посматрано у целини, анализе које је Данијела Поповић спровела  у два рада о биљу и растињу показују</w:t>
      </w:r>
      <w:r>
        <w:t>, дакле,</w:t>
      </w:r>
      <w:r w:rsidRPr="001654A2">
        <w:t xml:space="preserve"> да они у предањима</w:t>
      </w:r>
      <w:r w:rsidRPr="001654A2">
        <w:rPr>
          <w:lang w:val="ru-RU"/>
        </w:rPr>
        <w:t xml:space="preserve"> заузимају различите позиције и у одређеним сижејним моделима атрибуирају разне ликове, као и да поједина биљка, или њена врста, сходно  веровањима</w:t>
      </w:r>
      <w:r w:rsidRPr="001654A2">
        <w:t xml:space="preserve"> и архаичним религиозним представ</w:t>
      </w:r>
      <w:r>
        <w:t>а</w:t>
      </w:r>
      <w:r w:rsidRPr="001654A2">
        <w:t>ма, са којима се, да тако кажем, усклађују, у причи мо</w:t>
      </w:r>
      <w:r w:rsidRPr="001654A2">
        <w:rPr>
          <w:lang w:val="ru-RU"/>
        </w:rPr>
        <w:t>же задобити не само демонска, већ божанска обележја</w:t>
      </w:r>
      <w:r>
        <w:rPr>
          <w:lang w:val="ru-RU"/>
        </w:rPr>
        <w:t>, односно да представља код за препознавање.</w:t>
      </w:r>
      <w:r w:rsidRPr="001654A2">
        <w:rPr>
          <w:lang w:val="ru-RU"/>
        </w:rPr>
        <w:t xml:space="preserve">  </w:t>
      </w:r>
    </w:p>
    <w:p w:rsidR="00C02D75" w:rsidRPr="00085A2B" w:rsidRDefault="00C02D75" w:rsidP="00085A2B">
      <w:pPr>
        <w:pStyle w:val="NoSpacing"/>
        <w:spacing w:line="360" w:lineRule="auto"/>
        <w:ind w:firstLine="720"/>
        <w:jc w:val="both"/>
      </w:pPr>
      <w:r>
        <w:t>Књигу</w:t>
      </w:r>
      <w:r w:rsidRPr="001654A2">
        <w:t xml:space="preserve"> затварају </w:t>
      </w:r>
      <w:r>
        <w:t>два рада</w:t>
      </w:r>
      <w:r w:rsidRPr="001654A2">
        <w:t xml:space="preserve"> </w:t>
      </w:r>
      <w:r>
        <w:t>посвећена тужбалицама, које су по својој природи заокупљене односом живих и мртвих, односно релацијама које се у култури у најширем смислу одвијају између тзв. овог и оног света. Студије носе наслове:</w:t>
      </w:r>
      <w:r w:rsidRPr="001654A2">
        <w:t xml:space="preserve"> „</w:t>
      </w:r>
      <w:r w:rsidRPr="001654A2">
        <w:rPr>
          <w:lang w:val="ru-RU"/>
        </w:rPr>
        <w:t>Бор</w:t>
      </w:r>
      <w:r>
        <w:rPr>
          <w:lang w:val="ru-RU"/>
        </w:rPr>
        <w:t xml:space="preserve"> </w:t>
      </w:r>
      <w:r w:rsidRPr="00D70BA4">
        <w:rPr>
          <w:lang w:val="ru-RU"/>
        </w:rPr>
        <w:t>обор</w:t>
      </w:r>
      <w:r>
        <w:rPr>
          <w:lang w:val="ru-RU"/>
        </w:rPr>
        <w:t>ен: о мотиву бора у тужбалицама”</w:t>
      </w:r>
      <w:r w:rsidRPr="00D70BA4">
        <w:rPr>
          <w:lang w:val="ru-RU"/>
        </w:rPr>
        <w:t xml:space="preserve"> и </w:t>
      </w:r>
      <w:r>
        <w:rPr>
          <w:lang w:val="ru-RU"/>
        </w:rPr>
        <w:t>„</w:t>
      </w:r>
      <w:r w:rsidRPr="00D70BA4">
        <w:t>Усмена тужбалица и погребна обредност у народним партизанским песмама</w:t>
      </w:r>
      <w:r>
        <w:t xml:space="preserve">“, тако тематски спајајући елементе архачног и модерног поимања света, што се увек налази макар на маргинама истраживања ауторке Рукописа. И на овај начин она је непрестано  просторима поетике жанра, али и њихове функционализације у култури, усуђујем се рећи и обрнуто. </w:t>
      </w:r>
    </w:p>
    <w:p w:rsidR="00C02D75" w:rsidRDefault="00C02D75" w:rsidP="00085A2B">
      <w:pPr>
        <w:pStyle w:val="NoSpacing"/>
        <w:spacing w:line="360" w:lineRule="auto"/>
        <w:ind w:firstLine="720"/>
        <w:jc w:val="both"/>
      </w:pPr>
      <w:r w:rsidRPr="000E38D8">
        <w:t xml:space="preserve">У </w:t>
      </w:r>
      <w:r>
        <w:t>првој студији, која иначе анализама превазилази оквире наслова,</w:t>
      </w:r>
      <w:r w:rsidRPr="000E38D8">
        <w:t xml:space="preserve"> </w:t>
      </w:r>
      <w:r>
        <w:t>Данијела Поповић Николић, наравно,</w:t>
      </w:r>
      <w:r w:rsidRPr="000E38D8">
        <w:t xml:space="preserve"> истражује </w:t>
      </w:r>
      <w:r>
        <w:t>представу</w:t>
      </w:r>
      <w:r w:rsidRPr="000E38D8">
        <w:t xml:space="preserve"> бора у тужбалицама</w:t>
      </w:r>
      <w:r>
        <w:t>. Тиме она не само мотивски увезује овај рад са студијама посвећеним свету флоре у предањима, већ даље имплицитно указује на могућност посматрања целокупне усмене песничке традиције на аналогној културној матрици. Истовремено у</w:t>
      </w:r>
      <w:r w:rsidRPr="000E38D8">
        <w:t>казуј</w:t>
      </w:r>
      <w:r>
        <w:t>ући</w:t>
      </w:r>
      <w:r w:rsidRPr="000E38D8">
        <w:t xml:space="preserve"> на реализацију овог мотива у номинацији покојника, као и поетским сликама бора на гробу или месту погибије ратника</w:t>
      </w:r>
      <w:r>
        <w:t>, ауторка даље размиче оквире својих истраживања ове теме. И даље, како сама каже:</w:t>
      </w:r>
      <w:r w:rsidRPr="000E38D8">
        <w:t xml:space="preserve"> </w:t>
      </w:r>
      <w:r>
        <w:t>„</w:t>
      </w:r>
      <w:r w:rsidRPr="000E38D8">
        <w:t>тужбалицу карактеришу вантекстуалне везе (тесно је повезана са погр</w:t>
      </w:r>
      <w:r>
        <w:t>ебним обредним манифестацијама)“. Дакле, „</w:t>
      </w:r>
      <w:r w:rsidRPr="000E38D8">
        <w:t>у раду је пажња посвећена митско-религиозним и магијским представама које чине основу веро</w:t>
      </w:r>
      <w:r>
        <w:t>вања о животу после смрти. Симболика која бор одређује као бесмртно, вечнозелено дрво, одразила се и на појаву и позицију мотива бора у вербалном тексту погребног обреда.“</w:t>
      </w:r>
    </w:p>
    <w:p w:rsidR="00C02D75" w:rsidRDefault="00C02D75" w:rsidP="003E172A">
      <w:pPr>
        <w:spacing w:line="360" w:lineRule="auto"/>
        <w:ind w:firstLine="720"/>
        <w:jc w:val="both"/>
      </w:pPr>
      <w:r>
        <w:t xml:space="preserve">Књигу затвара студија о партизанским тужбалицама из јужне Србије, коју су настајале и изводиле се за време и непосредно после Другог светског рата. У грађи којом се бави, ауторка настоји да ову врсту песме дефинише у односу на тзв. класичне облике тужбалице. Испитујући их поредбено с тачке гледишта саржине, поетике,  функционализације, рецепције, ауторства..., Данијела Поповић показује да је у новијим облицима </w:t>
      </w:r>
      <w:r w:rsidRPr="000E698D">
        <w:t xml:space="preserve"> </w:t>
      </w:r>
      <w:r>
        <w:t>„</w:t>
      </w:r>
      <w:r w:rsidRPr="000E698D">
        <w:t>насупрот водећој идеологији и новим друштвеним околностима, било места за теме и мотиве који су се преплитали са питањима народне религије</w:t>
      </w:r>
      <w:r>
        <w:t>“. Они су могли опстати у новом тексту</w:t>
      </w:r>
      <w:r w:rsidRPr="000E698D">
        <w:t>,</w:t>
      </w:r>
      <w:r>
        <w:t xml:space="preserve"> али је</w:t>
      </w:r>
      <w:r w:rsidRPr="000E698D">
        <w:t xml:space="preserve"> </w:t>
      </w:r>
      <w:r>
        <w:t>„</w:t>
      </w:r>
      <w:r w:rsidRPr="000E698D">
        <w:t>поезија која је певала о смрти партизанских јунака и војсковођа</w:t>
      </w:r>
      <w:r w:rsidRPr="00C01EA2">
        <w:t>,</w:t>
      </w:r>
      <w:r w:rsidRPr="000E698D">
        <w:t xml:space="preserve"> могла обликовати мотив смрти и умирања који би био ван оквира паганско</w:t>
      </w:r>
      <w:r w:rsidRPr="00C01EA2">
        <w:t>/</w:t>
      </w:r>
      <w:r w:rsidRPr="000E698D">
        <w:t>хришћанских представа о човеку и завршетку његовог живота</w:t>
      </w:r>
      <w:r w:rsidRPr="00FC3227">
        <w:t>“. Другим речима,</w:t>
      </w:r>
      <w:r>
        <w:t xml:space="preserve"> рефлекси традиције препознатљиви су у тексту, сликама  (рефлексије на сеновите биљке), структури, у понашању, елементима обредности, али је приметан и отклон од обредно понашања (свест о потреби укидања свеће и крста, на пример...). Показало се, дакле, да је „у партизанским песмама остало је сачувано старо језгро усменог обичајног песништва“, да су  песме  певане у народу и за народ  и да се веза с традицијом у „кључном тренутку у човековом постојању није могла лако „укидати“,  „деловање и мишљење које је негирало коначност и обезбеђивало наставак живљења у неком другом свету и некој другој форми“ је и даље опстајало</w:t>
      </w:r>
    </w:p>
    <w:p w:rsidR="00C02D75" w:rsidRDefault="00C02D75" w:rsidP="003E172A">
      <w:pPr>
        <w:spacing w:line="360" w:lineRule="auto"/>
        <w:ind w:firstLine="720"/>
        <w:jc w:val="both"/>
        <w:rPr>
          <w:color w:val="000000"/>
        </w:rPr>
      </w:pPr>
      <w:r>
        <w:t>Треба напоменути да је истраживање Данијеле Поповић Николић спроведено превасходно на грађи која представља новије записе, друге половине 20. и почетка 21. века (што у српској фолклористици није честа појава). Грађа, којој је ауторка приступила зналачки, изненађује својом разноврсношћу, обимношћу, уметничким и сазнајним дометима и у њеним истраживањима се показала провокативном и продуктивном, нарочито у сучељавању са класичним облицима предања и тужбалице чије је познавање, овде је такође показано, на завидном нивоу. Данијела Поповић Николић, уз то, анализе  у Књизи показују, познаје и користи најважнија сазнања савремене науке (у оном обиму у којем је то нужно за теме којима се бави), а која се тичу књижевне науке, историје и теорије фолклорних жанрова које анализира, историје религије, културе и културологије уопште. Њена књига „</w:t>
      </w:r>
      <w:r w:rsidRPr="008266DE">
        <w:t>Други свет:</w:t>
      </w:r>
      <w:r w:rsidRPr="008266DE">
        <w:rPr>
          <w:color w:val="000000"/>
        </w:rPr>
        <w:t xml:space="preserve"> студије о демонолошким предањима и тужбалицама</w:t>
      </w:r>
      <w:r>
        <w:rPr>
          <w:color w:val="000000"/>
        </w:rPr>
        <w:t xml:space="preserve">“, иако невелика обимом, стога је веома важна за књижевна и фолклористичка истраживања не само у Србији, већ из изван ње. И ја је топло препоручујем за штампу. </w:t>
      </w:r>
    </w:p>
    <w:p w:rsidR="00C02D75" w:rsidRPr="008266DE" w:rsidRDefault="00C02D75" w:rsidP="003E172A">
      <w:pPr>
        <w:spacing w:line="360" w:lineRule="auto"/>
        <w:ind w:firstLine="720"/>
        <w:jc w:val="both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Др Зоја Карановић, професор универзитета у пензији</w:t>
      </w:r>
    </w:p>
    <w:p w:rsidR="00C02D75" w:rsidRPr="001654A2" w:rsidRDefault="00C02D75" w:rsidP="00D70BA4">
      <w:pPr>
        <w:pStyle w:val="NoSpacing"/>
        <w:spacing w:line="360" w:lineRule="auto"/>
        <w:jc w:val="both"/>
      </w:pPr>
      <w:r w:rsidRPr="001654A2">
        <w:t xml:space="preserve"> </w:t>
      </w:r>
    </w:p>
    <w:p w:rsidR="00C02D75" w:rsidRPr="00D3513E" w:rsidRDefault="00C02D75" w:rsidP="00687A4A">
      <w:pPr>
        <w:pStyle w:val="ListParagraph"/>
        <w:spacing w:line="360" w:lineRule="auto"/>
        <w:ind w:left="-567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02D75" w:rsidRPr="00D3513E" w:rsidRDefault="00C02D75" w:rsidP="003174B3">
      <w:pPr>
        <w:pStyle w:val="ListParagraph"/>
        <w:spacing w:line="360" w:lineRule="auto"/>
        <w:ind w:left="-567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02D75" w:rsidRDefault="00C02D75" w:rsidP="00C3199D">
      <w:pPr>
        <w:pStyle w:val="ListParagraph"/>
        <w:spacing w:line="360" w:lineRule="auto"/>
        <w:ind w:left="-567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02D75" w:rsidRDefault="00C02D75"/>
    <w:sectPr w:rsidR="00C02D75" w:rsidSect="00E065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4153C"/>
    <w:multiLevelType w:val="hybridMultilevel"/>
    <w:tmpl w:val="52F057C4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2C0E"/>
    <w:rsid w:val="00020627"/>
    <w:rsid w:val="00054765"/>
    <w:rsid w:val="00076CEF"/>
    <w:rsid w:val="00085A2B"/>
    <w:rsid w:val="0008789D"/>
    <w:rsid w:val="000B7982"/>
    <w:rsid w:val="000C79A5"/>
    <w:rsid w:val="000D3CBA"/>
    <w:rsid w:val="000D6D8B"/>
    <w:rsid w:val="000D70C1"/>
    <w:rsid w:val="000E38D8"/>
    <w:rsid w:val="000E698D"/>
    <w:rsid w:val="00122862"/>
    <w:rsid w:val="0012441B"/>
    <w:rsid w:val="0014325A"/>
    <w:rsid w:val="001632AF"/>
    <w:rsid w:val="00165090"/>
    <w:rsid w:val="001654A2"/>
    <w:rsid w:val="00176F9A"/>
    <w:rsid w:val="00184838"/>
    <w:rsid w:val="00192D65"/>
    <w:rsid w:val="001B0CD8"/>
    <w:rsid w:val="001C39F7"/>
    <w:rsid w:val="001C4909"/>
    <w:rsid w:val="001C7588"/>
    <w:rsid w:val="001F64EA"/>
    <w:rsid w:val="002239FC"/>
    <w:rsid w:val="00267EA5"/>
    <w:rsid w:val="00270774"/>
    <w:rsid w:val="00292265"/>
    <w:rsid w:val="002A033C"/>
    <w:rsid w:val="002C1AF7"/>
    <w:rsid w:val="002D1935"/>
    <w:rsid w:val="002E735A"/>
    <w:rsid w:val="00310CAB"/>
    <w:rsid w:val="003174B3"/>
    <w:rsid w:val="003301B2"/>
    <w:rsid w:val="003377BF"/>
    <w:rsid w:val="003771D7"/>
    <w:rsid w:val="003819E2"/>
    <w:rsid w:val="00381AD8"/>
    <w:rsid w:val="00384483"/>
    <w:rsid w:val="00396946"/>
    <w:rsid w:val="003E172A"/>
    <w:rsid w:val="004117A1"/>
    <w:rsid w:val="00417220"/>
    <w:rsid w:val="0043258A"/>
    <w:rsid w:val="0045669B"/>
    <w:rsid w:val="004827F3"/>
    <w:rsid w:val="00491071"/>
    <w:rsid w:val="004B4F19"/>
    <w:rsid w:val="004E39F2"/>
    <w:rsid w:val="004E56E3"/>
    <w:rsid w:val="0052372E"/>
    <w:rsid w:val="00540BFC"/>
    <w:rsid w:val="0054556C"/>
    <w:rsid w:val="005469E6"/>
    <w:rsid w:val="00554366"/>
    <w:rsid w:val="00567023"/>
    <w:rsid w:val="0056799E"/>
    <w:rsid w:val="00582EFC"/>
    <w:rsid w:val="005C7FAD"/>
    <w:rsid w:val="005E48CF"/>
    <w:rsid w:val="005E787F"/>
    <w:rsid w:val="006047AE"/>
    <w:rsid w:val="0063453A"/>
    <w:rsid w:val="00643ED5"/>
    <w:rsid w:val="00654333"/>
    <w:rsid w:val="00687A4A"/>
    <w:rsid w:val="006D379A"/>
    <w:rsid w:val="006F37FB"/>
    <w:rsid w:val="00706D30"/>
    <w:rsid w:val="00715128"/>
    <w:rsid w:val="00723A14"/>
    <w:rsid w:val="007272B6"/>
    <w:rsid w:val="00727AB4"/>
    <w:rsid w:val="0078057D"/>
    <w:rsid w:val="00786493"/>
    <w:rsid w:val="00796935"/>
    <w:rsid w:val="00797F55"/>
    <w:rsid w:val="007D0899"/>
    <w:rsid w:val="007E70E1"/>
    <w:rsid w:val="007F5D6D"/>
    <w:rsid w:val="00806A55"/>
    <w:rsid w:val="008266DE"/>
    <w:rsid w:val="00843CEE"/>
    <w:rsid w:val="00844A41"/>
    <w:rsid w:val="00844ED0"/>
    <w:rsid w:val="008540A7"/>
    <w:rsid w:val="0088260F"/>
    <w:rsid w:val="00884F1E"/>
    <w:rsid w:val="008E55C9"/>
    <w:rsid w:val="008E65ED"/>
    <w:rsid w:val="008F15A0"/>
    <w:rsid w:val="00912D13"/>
    <w:rsid w:val="009649D3"/>
    <w:rsid w:val="00964A95"/>
    <w:rsid w:val="00965927"/>
    <w:rsid w:val="009861CD"/>
    <w:rsid w:val="00992207"/>
    <w:rsid w:val="009946FD"/>
    <w:rsid w:val="009A6ACC"/>
    <w:rsid w:val="009B25B4"/>
    <w:rsid w:val="009B3E9A"/>
    <w:rsid w:val="009B5700"/>
    <w:rsid w:val="009C15EB"/>
    <w:rsid w:val="009D4485"/>
    <w:rsid w:val="009E292F"/>
    <w:rsid w:val="00A13B43"/>
    <w:rsid w:val="00A16E19"/>
    <w:rsid w:val="00A31C00"/>
    <w:rsid w:val="00A50115"/>
    <w:rsid w:val="00A607DD"/>
    <w:rsid w:val="00A70254"/>
    <w:rsid w:val="00A77706"/>
    <w:rsid w:val="00A809FB"/>
    <w:rsid w:val="00A80D79"/>
    <w:rsid w:val="00B04B8B"/>
    <w:rsid w:val="00B6105F"/>
    <w:rsid w:val="00B971C0"/>
    <w:rsid w:val="00BD0C88"/>
    <w:rsid w:val="00BD2C0E"/>
    <w:rsid w:val="00BF3A9C"/>
    <w:rsid w:val="00C01EA2"/>
    <w:rsid w:val="00C02D75"/>
    <w:rsid w:val="00C06440"/>
    <w:rsid w:val="00C13BE0"/>
    <w:rsid w:val="00C248CD"/>
    <w:rsid w:val="00C3199D"/>
    <w:rsid w:val="00C92AA6"/>
    <w:rsid w:val="00CB1BBE"/>
    <w:rsid w:val="00CB2C22"/>
    <w:rsid w:val="00CC60C3"/>
    <w:rsid w:val="00CE7949"/>
    <w:rsid w:val="00D05341"/>
    <w:rsid w:val="00D2390E"/>
    <w:rsid w:val="00D267D1"/>
    <w:rsid w:val="00D3513E"/>
    <w:rsid w:val="00D62C03"/>
    <w:rsid w:val="00D70BA4"/>
    <w:rsid w:val="00DC14FA"/>
    <w:rsid w:val="00DC7136"/>
    <w:rsid w:val="00DE188B"/>
    <w:rsid w:val="00DE6324"/>
    <w:rsid w:val="00E06542"/>
    <w:rsid w:val="00E10F79"/>
    <w:rsid w:val="00E247F7"/>
    <w:rsid w:val="00E254B3"/>
    <w:rsid w:val="00E46555"/>
    <w:rsid w:val="00E73D84"/>
    <w:rsid w:val="00EA4365"/>
    <w:rsid w:val="00EF0587"/>
    <w:rsid w:val="00EF6EB6"/>
    <w:rsid w:val="00F1608E"/>
    <w:rsid w:val="00F16A16"/>
    <w:rsid w:val="00F95822"/>
    <w:rsid w:val="00FC3227"/>
    <w:rsid w:val="00FC4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99D"/>
    <w:rPr>
      <w:rFonts w:ascii="Times New Roman" w:eastAsia="Times New Roman" w:hAnsi="Times New Roman"/>
      <w:sz w:val="24"/>
      <w:szCs w:val="24"/>
      <w:lang w:val="sr-Cyrl-CS" w:eastAsia="en-A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319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NoSpacing">
    <w:name w:val="No Spacing"/>
    <w:uiPriority w:val="99"/>
    <w:qFormat/>
    <w:rsid w:val="001654A2"/>
    <w:rPr>
      <w:rFonts w:ascii="Times New Roman" w:eastAsia="Times New Roman" w:hAnsi="Times New Roman"/>
      <w:sz w:val="24"/>
      <w:szCs w:val="24"/>
      <w:lang w:val="sr-Cyrl-CS" w:eastAsia="en-AU"/>
    </w:rPr>
  </w:style>
  <w:style w:type="paragraph" w:styleId="FootnoteText">
    <w:name w:val="footnote text"/>
    <w:basedOn w:val="Normal"/>
    <w:next w:val="Normal"/>
    <w:link w:val="FootnoteTextChar"/>
    <w:uiPriority w:val="99"/>
    <w:rsid w:val="00D70BA4"/>
    <w:pPr>
      <w:spacing w:line="360" w:lineRule="auto"/>
    </w:pPr>
    <w:rPr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D70BA4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1775</Words>
  <Characters>10119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Рецензија рукописа: Други свет:  студије о демонолошким предањима и тужбалицама, Данијеле Поповић Николић,</dc:title>
  <dc:subject/>
  <dc:creator>Korisnik</dc:creator>
  <cp:keywords/>
  <dc:description/>
  <cp:lastModifiedBy>rc</cp:lastModifiedBy>
  <cp:revision>2</cp:revision>
  <dcterms:created xsi:type="dcterms:W3CDTF">2016-03-14T10:16:00Z</dcterms:created>
  <dcterms:modified xsi:type="dcterms:W3CDTF">2016-03-14T10:16:00Z</dcterms:modified>
</cp:coreProperties>
</file>